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36" w:rsidRPr="00520836" w:rsidRDefault="00520836" w:rsidP="00520836">
      <w:pPr>
        <w:jc w:val="center"/>
        <w:rPr>
          <w:b/>
        </w:rPr>
      </w:pPr>
      <w:r w:rsidRPr="00520836">
        <w:rPr>
          <w:b/>
        </w:rPr>
        <w:t xml:space="preserve">REFERENCES: </w:t>
      </w:r>
      <w:r w:rsidR="00A42878">
        <w:rPr>
          <w:b/>
        </w:rPr>
        <w:t>PROFESSIONAL ACTIVITIES I</w:t>
      </w:r>
    </w:p>
    <w:p w:rsidR="00520836" w:rsidRDefault="00520836" w:rsidP="00520836">
      <w:pPr>
        <w:jc w:val="center"/>
      </w:pPr>
    </w:p>
    <w:p w:rsidR="00C5260D" w:rsidRPr="00B173EA" w:rsidRDefault="00512AC2" w:rsidP="00C5260D">
      <w:pPr>
        <w:pStyle w:val="Heading2"/>
        <w:jc w:val="center"/>
      </w:pPr>
      <w:r>
        <w:t>Educational Gymnastics</w:t>
      </w:r>
    </w:p>
    <w:p w:rsidR="00C5260D" w:rsidRPr="001C5C55" w:rsidRDefault="00C5260D" w:rsidP="00C5260D">
      <w:pPr>
        <w:rPr>
          <w:sz w:val="22"/>
        </w:rPr>
      </w:pPr>
    </w:p>
    <w:p w:rsidR="00512AC2" w:rsidRPr="00023201" w:rsidRDefault="00512AC2" w:rsidP="00512AC2">
      <w:pPr>
        <w:ind w:left="360" w:hanging="360"/>
        <w:rPr>
          <w:sz w:val="22"/>
        </w:rPr>
      </w:pPr>
      <w:r w:rsidRPr="00023201">
        <w:rPr>
          <w:sz w:val="22"/>
        </w:rPr>
        <w:t>Baumgarten, S.</w:t>
      </w:r>
      <w:r w:rsidR="00724ADE">
        <w:rPr>
          <w:sz w:val="22"/>
        </w:rPr>
        <w:t xml:space="preserve">, &amp; Pagnano-Richardson (2010). </w:t>
      </w:r>
      <w:r w:rsidRPr="00023201">
        <w:rPr>
          <w:sz w:val="22"/>
        </w:rPr>
        <w:t xml:space="preserve">Educational gymnastics: Enhancing children’s physical literacy. </w:t>
      </w:r>
      <w:r w:rsidRPr="00023201">
        <w:rPr>
          <w:i/>
          <w:sz w:val="22"/>
        </w:rPr>
        <w:t>JOPERD, 81</w:t>
      </w:r>
      <w:r w:rsidRPr="00023201">
        <w:rPr>
          <w:sz w:val="22"/>
        </w:rPr>
        <w:t xml:space="preserve"> (4), 18-25.</w:t>
      </w:r>
    </w:p>
    <w:p w:rsidR="00512AC2" w:rsidRPr="00023201" w:rsidRDefault="00512AC2" w:rsidP="00512AC2">
      <w:pPr>
        <w:ind w:left="360" w:hanging="360"/>
        <w:rPr>
          <w:sz w:val="22"/>
        </w:rPr>
      </w:pPr>
    </w:p>
    <w:p w:rsidR="00512AC2" w:rsidRDefault="00512AC2" w:rsidP="00512AC2">
      <w:pPr>
        <w:ind w:left="360" w:hanging="360"/>
        <w:rPr>
          <w:sz w:val="22"/>
        </w:rPr>
      </w:pPr>
      <w:r w:rsidRPr="00023201">
        <w:rPr>
          <w:sz w:val="22"/>
        </w:rPr>
        <w:t xml:space="preserve">Coelho, J. (2010). Gymnastics and movement instruction: Fighting the decline in motor fitness. </w:t>
      </w:r>
      <w:r w:rsidRPr="00023201">
        <w:rPr>
          <w:i/>
          <w:sz w:val="22"/>
        </w:rPr>
        <w:t>JOPERD, 81</w:t>
      </w:r>
      <w:r w:rsidRPr="00023201">
        <w:rPr>
          <w:sz w:val="22"/>
        </w:rPr>
        <w:t xml:space="preserve"> (1), 14-18.</w:t>
      </w:r>
    </w:p>
    <w:p w:rsidR="00512AC2" w:rsidRDefault="00512AC2" w:rsidP="00512AC2">
      <w:pPr>
        <w:ind w:left="360" w:hanging="360"/>
        <w:rPr>
          <w:sz w:val="22"/>
        </w:rPr>
      </w:pPr>
    </w:p>
    <w:p w:rsidR="00512AC2" w:rsidRDefault="00512AC2" w:rsidP="00512A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Nilges-Charles, L. (2008). Assessing skill in educational gymnastics. </w:t>
      </w:r>
      <w:r w:rsidRPr="00023201">
        <w:rPr>
          <w:rFonts w:ascii="Times" w:hAnsi="Times"/>
          <w:i/>
          <w:sz w:val="22"/>
        </w:rPr>
        <w:t xml:space="preserve">JOPERD,  79 </w:t>
      </w:r>
      <w:r w:rsidRPr="00023201">
        <w:rPr>
          <w:rFonts w:ascii="Times" w:hAnsi="Times"/>
          <w:sz w:val="22"/>
        </w:rPr>
        <w:t>(3), 41-51.</w:t>
      </w:r>
    </w:p>
    <w:p w:rsidR="00512AC2" w:rsidRDefault="00512AC2" w:rsidP="00512A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512AC2" w:rsidRPr="00512AC2" w:rsidRDefault="00512AC2" w:rsidP="00512A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Nilges, L. (1997). Educational gymnastics—Stages of content development. </w:t>
      </w:r>
      <w:r>
        <w:rPr>
          <w:rFonts w:ascii="Times" w:hAnsi="Times"/>
          <w:i/>
          <w:sz w:val="22"/>
        </w:rPr>
        <w:t xml:space="preserve">JOPERD, 68 </w:t>
      </w:r>
      <w:r>
        <w:rPr>
          <w:rFonts w:ascii="Times" w:hAnsi="Times"/>
          <w:sz w:val="22"/>
        </w:rPr>
        <w:t>(3), 50-55.</w:t>
      </w:r>
    </w:p>
    <w:p w:rsidR="002A7EDE" w:rsidRDefault="002A7EDE" w:rsidP="00512AC2">
      <w:pPr>
        <w:ind w:left="360" w:hanging="360"/>
        <w:rPr>
          <w:sz w:val="22"/>
        </w:rPr>
      </w:pPr>
    </w:p>
    <w:p w:rsidR="00512AC2" w:rsidRDefault="00512AC2" w:rsidP="00512AC2">
      <w:pPr>
        <w:ind w:left="360" w:hanging="360"/>
        <w:rPr>
          <w:sz w:val="22"/>
        </w:rPr>
      </w:pPr>
    </w:p>
    <w:p w:rsidR="002A7EDE" w:rsidRPr="002A7EDE" w:rsidRDefault="002A7EDE" w:rsidP="002A7EDE">
      <w:pPr>
        <w:pStyle w:val="BodyTextIndent3"/>
        <w:jc w:val="center"/>
        <w:rPr>
          <w:b/>
          <w:u w:val="single"/>
        </w:rPr>
      </w:pPr>
      <w:r>
        <w:rPr>
          <w:b/>
          <w:u w:val="single"/>
        </w:rPr>
        <w:t>Warming Up</w:t>
      </w:r>
    </w:p>
    <w:p w:rsidR="002A7EDE" w:rsidRDefault="002A7EDE" w:rsidP="002A7EDE">
      <w:pPr>
        <w:pStyle w:val="BodyTextIndent3"/>
        <w:jc w:val="center"/>
        <w:rPr>
          <w:sz w:val="22"/>
        </w:rPr>
      </w:pPr>
    </w:p>
    <w:p w:rsidR="002A7EDE" w:rsidRPr="00724ADE" w:rsidRDefault="002A7EDE" w:rsidP="002A7EDE">
      <w:pPr>
        <w:ind w:left="360" w:hanging="360"/>
        <w:rPr>
          <w:sz w:val="22"/>
        </w:rPr>
      </w:pPr>
      <w:r>
        <w:rPr>
          <w:sz w:val="22"/>
        </w:rPr>
        <w:t>Faigenbaum, A., &amp; McFarland, J. (2007). Guidelines for implementing a dynamic warm-up for physical education.</w:t>
      </w:r>
      <w:r>
        <w:rPr>
          <w:i/>
          <w:sz w:val="22"/>
        </w:rPr>
        <w:t xml:space="preserve"> JOPERD, 78</w:t>
      </w:r>
      <w:r>
        <w:rPr>
          <w:sz w:val="22"/>
        </w:rPr>
        <w:t xml:space="preserve"> (3), 25-28.</w:t>
      </w:r>
    </w:p>
    <w:p w:rsidR="002A7EDE" w:rsidRDefault="002A7EDE" w:rsidP="002A7EDE">
      <w:pPr>
        <w:pStyle w:val="BodyTextIndent3"/>
        <w:jc w:val="center"/>
        <w:rPr>
          <w:sz w:val="22"/>
        </w:rPr>
      </w:pPr>
    </w:p>
    <w:p w:rsidR="002A7EDE" w:rsidRPr="00724ADE" w:rsidRDefault="002A7EDE" w:rsidP="002A7EDE">
      <w:pPr>
        <w:ind w:left="360" w:hanging="360"/>
        <w:rPr>
          <w:sz w:val="22"/>
        </w:rPr>
      </w:pPr>
      <w:r>
        <w:rPr>
          <w:sz w:val="22"/>
        </w:rPr>
        <w:t xml:space="preserve">Knudson, D. (1999). Stretching during warm-up—Do we have enough evidence? </w:t>
      </w:r>
      <w:r>
        <w:rPr>
          <w:i/>
          <w:sz w:val="22"/>
        </w:rPr>
        <w:t xml:space="preserve">JOPERD, 70 </w:t>
      </w:r>
      <w:r>
        <w:rPr>
          <w:sz w:val="22"/>
        </w:rPr>
        <w:t>(7), 24-27.</w:t>
      </w:r>
    </w:p>
    <w:p w:rsidR="002A7EDE" w:rsidRDefault="002A7EDE" w:rsidP="002A7EDE">
      <w:pPr>
        <w:ind w:left="360" w:hanging="360"/>
        <w:rPr>
          <w:sz w:val="22"/>
        </w:rPr>
      </w:pPr>
    </w:p>
    <w:p w:rsidR="002A7EDE" w:rsidRDefault="002A7EDE" w:rsidP="002A7EDE">
      <w:pPr>
        <w:ind w:left="360" w:hanging="360"/>
        <w:rPr>
          <w:sz w:val="22"/>
        </w:rPr>
      </w:pPr>
      <w:r>
        <w:rPr>
          <w:sz w:val="22"/>
        </w:rPr>
        <w:t>Mitchell, M (1996). Stretching the content of your warm-up.</w:t>
      </w:r>
      <w:r>
        <w:rPr>
          <w:i/>
          <w:sz w:val="22"/>
        </w:rPr>
        <w:t xml:space="preserve"> JOPERD, 67 </w:t>
      </w:r>
      <w:r>
        <w:rPr>
          <w:sz w:val="22"/>
        </w:rPr>
        <w:t>(7), 24-28.</w:t>
      </w:r>
    </w:p>
    <w:p w:rsidR="002A7EDE" w:rsidRDefault="002A7EDE" w:rsidP="002A7EDE">
      <w:pPr>
        <w:ind w:left="360" w:hanging="360"/>
        <w:rPr>
          <w:sz w:val="22"/>
        </w:rPr>
      </w:pPr>
    </w:p>
    <w:p w:rsidR="002A7EDE" w:rsidRPr="00724ADE" w:rsidRDefault="002A7EDE" w:rsidP="002A7EDE">
      <w:pPr>
        <w:ind w:left="360" w:hanging="360"/>
        <w:rPr>
          <w:sz w:val="22"/>
        </w:rPr>
      </w:pPr>
      <w:r>
        <w:rPr>
          <w:sz w:val="22"/>
        </w:rPr>
        <w:t xml:space="preserve">Shrier, I., &amp; Gossal, K. (??). Myths and truths of stretching. </w:t>
      </w:r>
      <w:r>
        <w:rPr>
          <w:i/>
          <w:sz w:val="22"/>
        </w:rPr>
        <w:t xml:space="preserve">The Physician and Sportmedicine, 28 </w:t>
      </w:r>
      <w:r>
        <w:rPr>
          <w:sz w:val="22"/>
        </w:rPr>
        <w:t>(8), 57-63.</w:t>
      </w:r>
    </w:p>
    <w:p w:rsidR="00C5260D" w:rsidRDefault="00C5260D" w:rsidP="002A7EDE">
      <w:pPr>
        <w:pStyle w:val="BodyTextIndent3"/>
        <w:jc w:val="center"/>
        <w:rPr>
          <w:sz w:val="22"/>
        </w:rPr>
      </w:pPr>
    </w:p>
    <w:p w:rsidR="00C5260D" w:rsidRPr="00B173EA" w:rsidRDefault="00512AC2" w:rsidP="00C5260D">
      <w:pPr>
        <w:pStyle w:val="Heading2"/>
        <w:jc w:val="center"/>
      </w:pPr>
      <w:r>
        <w:t>Miscellaneous Topics</w:t>
      </w:r>
    </w:p>
    <w:p w:rsidR="00512AC2" w:rsidRDefault="00512AC2" w:rsidP="00C5260D">
      <w:pPr>
        <w:pStyle w:val="BodyTextIndent3"/>
        <w:rPr>
          <w:sz w:val="22"/>
        </w:rPr>
      </w:pPr>
    </w:p>
    <w:p w:rsidR="0031791F" w:rsidRDefault="00512AC2" w:rsidP="00512AC2">
      <w:pPr>
        <w:ind w:left="360" w:hanging="360"/>
        <w:rPr>
          <w:sz w:val="22"/>
        </w:rPr>
      </w:pPr>
      <w:r>
        <w:rPr>
          <w:sz w:val="22"/>
        </w:rPr>
        <w:t xml:space="preserve">Hart, M., Smith, L., &amp; DeChant-Bruennig. Effect of participation in a cup stacking unit on hand-eye coordination of elementary children. </w:t>
      </w:r>
      <w:r>
        <w:rPr>
          <w:i/>
          <w:sz w:val="22"/>
        </w:rPr>
        <w:t>The Physical Educator, 63</w:t>
      </w:r>
      <w:r>
        <w:rPr>
          <w:sz w:val="22"/>
        </w:rPr>
        <w:t xml:space="preserve"> (3), 154-159.</w:t>
      </w:r>
    </w:p>
    <w:p w:rsidR="00A52A86" w:rsidRDefault="00A52A86" w:rsidP="00512AC2">
      <w:pPr>
        <w:ind w:left="360" w:hanging="360"/>
        <w:rPr>
          <w:sz w:val="22"/>
        </w:rPr>
      </w:pPr>
    </w:p>
    <w:p w:rsidR="00724ADE" w:rsidRPr="00A52A86" w:rsidRDefault="00A52A86" w:rsidP="00512AC2">
      <w:pPr>
        <w:ind w:left="360" w:hanging="360"/>
        <w:rPr>
          <w:sz w:val="22"/>
        </w:rPr>
      </w:pPr>
      <w:r>
        <w:rPr>
          <w:sz w:val="22"/>
        </w:rPr>
        <w:t xml:space="preserve">Hernandez, B., Gober, D., Boatwright, D., &amp; Strickland, G. (2009). Jump rope skills for fun and fitness in grades K-12. </w:t>
      </w:r>
      <w:r>
        <w:rPr>
          <w:i/>
          <w:sz w:val="22"/>
        </w:rPr>
        <w:t xml:space="preserve">JOPERD, 80 </w:t>
      </w:r>
      <w:r>
        <w:rPr>
          <w:sz w:val="22"/>
        </w:rPr>
        <w:t>(7), 15-22.</w:t>
      </w:r>
    </w:p>
    <w:sectPr w:rsidR="00724ADE" w:rsidRPr="00A52A86" w:rsidSect="00C5260D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0836"/>
    <w:rsid w:val="002A7EDE"/>
    <w:rsid w:val="0031791F"/>
    <w:rsid w:val="003801D8"/>
    <w:rsid w:val="00413CA5"/>
    <w:rsid w:val="004A1CB7"/>
    <w:rsid w:val="00512AC2"/>
    <w:rsid w:val="00520836"/>
    <w:rsid w:val="00724ADE"/>
    <w:rsid w:val="00A42878"/>
    <w:rsid w:val="00A52A86"/>
    <w:rsid w:val="00C526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2E"/>
  </w:style>
  <w:style w:type="paragraph" w:styleId="Heading2">
    <w:name w:val="heading 2"/>
    <w:basedOn w:val="Normal"/>
    <w:next w:val="Normal"/>
    <w:link w:val="Heading2Char"/>
    <w:qFormat/>
    <w:rsid w:val="00C5260D"/>
    <w:pPr>
      <w:keepNext/>
      <w:outlineLvl w:val="1"/>
    </w:pPr>
    <w:rPr>
      <w:rFonts w:ascii="Times" w:eastAsia="Times" w:hAnsi="Times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C5260D"/>
    <w:rPr>
      <w:rFonts w:ascii="Times" w:eastAsia="Times" w:hAnsi="Times" w:cs="Times New Roman"/>
      <w:b/>
      <w:szCs w:val="20"/>
      <w:u w:val="single"/>
    </w:rPr>
  </w:style>
  <w:style w:type="paragraph" w:styleId="BodyTextIndent3">
    <w:name w:val="Body Text Indent 3"/>
    <w:basedOn w:val="Normal"/>
    <w:link w:val="BodyTextIndent3Char"/>
    <w:rsid w:val="00C5260D"/>
    <w:pPr>
      <w:tabs>
        <w:tab w:val="left" w:pos="540"/>
      </w:tabs>
      <w:ind w:left="540" w:hanging="54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260D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1689</Characters>
  <Application>Microsoft Macintosh Word</Application>
  <DocSecurity>0</DocSecurity>
  <Lines>14</Lines>
  <Paragraphs>3</Paragraphs>
  <ScaleCrop>false</ScaleCrop>
  <Company>Bethel University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</dc:creator>
  <cp:keywords/>
  <cp:lastModifiedBy>Steve Henkel</cp:lastModifiedBy>
  <cp:revision>6</cp:revision>
  <dcterms:created xsi:type="dcterms:W3CDTF">2010-08-16T20:57:00Z</dcterms:created>
  <dcterms:modified xsi:type="dcterms:W3CDTF">2010-08-16T21:21:00Z</dcterms:modified>
</cp:coreProperties>
</file>